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b/>
          <w:bCs/>
          <w:color w:val="0f2044"/>
          <w:spacing w:val="40"/>
          <w:sz w:val="18"/>
          <w:szCs w:val="18"/>
        </w:rPr>
        <w:t xml:space="preserve">VERIQUA PTY LTD</w:t>
      </w:r>
    </w:p>
    <w:p>
      <w:pPr>
        <w:spacing w:after="60" w:before="0"/>
        <w:jc w:val="center"/>
      </w:pPr>
      <w:r>
        <w:rPr>
          <w:b/>
          <w:bCs/>
          <w:color w:val="0f2044"/>
          <w:sz w:val="40"/>
          <w:szCs w:val="40"/>
        </w:rPr>
        <w:t xml:space="preserve">Security &amp; Data Residency Statement</w:t>
      </w:r>
    </w:p>
    <w:p>
      <w:pPr>
        <w:spacing w:after="240" w:before="0"/>
        <w:jc w:val="center"/>
      </w:pPr>
      <w:r>
        <w:rPr>
          <w:color w:val="64748b"/>
          <w:sz w:val="16"/>
          <w:szCs w:val="16"/>
        </w:rPr>
        <w:t xml:space="preserve">Version 1.0  ·  10 July 2026  ·  PUBLIC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1.  Data Residency &amp; Sovereignty</w:t>
      </w:r>
    </w:p>
    <w:p>
      <w:pPr>
        <w:spacing w:after="80" w:before="80"/>
      </w:pPr>
      <w:r>
        <w:rPr>
          <w:color w:val="1e293b"/>
          <w:sz w:val="18"/>
          <w:szCs w:val="18"/>
        </w:rPr>
        <w:t xml:space="preserve">Veriqua is architected to keep all client data onshore in Australia at every layer of the stack.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Application hosting: </w:t>
      </w:r>
      <w:r>
        <w:rPr>
          <w:color w:val="475569"/>
          <w:sz w:val="18"/>
          <w:szCs w:val="18"/>
        </w:rPr>
        <w:t xml:space="preserve">Replit platform / Google Cloud Platform (GCP), Sydney, Australia (ap-southeast-2)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PostgreSQL database: </w:t>
      </w:r>
      <w:r>
        <w:rPr>
          <w:color w:val="475569"/>
          <w:sz w:val="18"/>
          <w:szCs w:val="18"/>
        </w:rPr>
        <w:t xml:space="preserve">Neon serverless PostgreSQL on AWS ap-southeast-2, Sydney, Australia — confirmed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Object storage (files): </w:t>
      </w:r>
      <w:r>
        <w:rPr>
          <w:color w:val="475569"/>
          <w:sz w:val="18"/>
          <w:szCs w:val="18"/>
        </w:rPr>
        <w:t xml:space="preserve">Replit Object Storage (GCS-backed), Sydney, Australia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AI inference (GPT-4o): </w:t>
      </w:r>
      <w:r>
        <w:rPr>
          <w:color w:val="475569"/>
          <w:sz w:val="18"/>
          <w:szCs w:val="18"/>
        </w:rPr>
        <w:t xml:space="preserve">Azure OpenAI Australia East (Sydney endpoint)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RAG corpus (pgvector): </w:t>
      </w:r>
      <w:r>
        <w:rPr>
          <w:color w:val="475569"/>
          <w:sz w:val="18"/>
          <w:szCs w:val="18"/>
        </w:rPr>
        <w:t xml:space="preserve">Stored in AU Sydney PostgreSQL (Neon/AWS) — no external vector DB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KYC identity verification (FrankieOne): </w:t>
      </w:r>
      <w:r>
        <w:rPr>
          <w:color w:val="475569"/>
          <w:sz w:val="18"/>
          <w:szCs w:val="18"/>
        </w:rPr>
        <w:t xml:space="preserve">AWS ap-southeast-2, Sydney (primary, all-active 3 AZs) + AWS ap-southeast-4, Melbourne (pilot-light standby) — confirmed AU-resident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Outbound email: </w:t>
      </w:r>
      <w:r>
        <w:rPr>
          <w:color w:val="475569"/>
          <w:sz w:val="18"/>
          <w:szCs w:val="18"/>
        </w:rPr>
        <w:t xml:space="preserve">AWS Simple Email Service (SES), ap-southeast-2, Sydney, Australia — STARTTLS/587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Backup (pg_dump): </w:t>
      </w:r>
      <w:r>
        <w:rPr>
          <w:color w:val="475569"/>
          <w:sz w:val="18"/>
          <w:szCs w:val="18"/>
        </w:rPr>
        <w:t xml:space="preserve">Object storage — Sydney, Australia, 30-day retention</w:t>
      </w:r>
    </w:p>
    <w:p>
      <w:pPr>
        <w:spacing w:after="0" w:before="80"/>
      </w:pP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Data residency — general principle: </w:t>
      </w:r>
      <w:r>
        <w:rPr>
          <w:color w:val="475569"/>
          <w:sz w:val="18"/>
          <w:szCs w:val="18"/>
        </w:rPr>
        <w:t xml:space="preserve">All compliance records, KYC data, transaction data, financial information, and audit logs are stored and processed exclusively in Australia. No such data crosses Australian borders.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Cross-border disclosure position: </w:t>
      </w:r>
      <w:r>
        <w:rPr>
          <w:color w:val="475569"/>
          <w:sz w:val="18"/>
          <w:szCs w:val="18"/>
        </w:rPr>
        <w:t xml:space="preserve">All processing legs — application compute (GCP Sydney), database (Neon/AWS Sydney), KYC verification (FrankieOne/AWS Sydney + Melbourne), AI inference (Azure AU East), and outbound email (AWS SES Sydney) — are resident in Australian regions. No personal information crosses Australian borders.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Privacy Act APP 8 — position: </w:t>
      </w:r>
      <w:r>
        <w:rPr>
          <w:color w:val="475569"/>
          <w:sz w:val="18"/>
          <w:szCs w:val="18"/>
        </w:rPr>
        <w:t xml:space="preserve">No ongoing cross-border disclosures. All sub-processors with access to personal information operate from Australian regions. APP 8 accountability obligations are met through Australian-resident infrastructure and contractual DPAs with each sub-processor.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AI prompt scope: </w:t>
      </w:r>
      <w:r>
        <w:rPr>
          <w:color w:val="475569"/>
          <w:sz w:val="18"/>
          <w:szCs w:val="18"/>
        </w:rPr>
        <w:t xml:space="preserve">Only the compliance question text and relevant regulatory context are sent to the AI endpoint. No personally identifiable client data, KYC records, or transaction data is included in AI prompts.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2.  Encryption &amp; Data Protection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Data at rest: </w:t>
      </w:r>
      <w:r>
        <w:rPr>
          <w:color w:val="475569"/>
          <w:sz w:val="18"/>
          <w:szCs w:val="18"/>
        </w:rPr>
        <w:t xml:space="preserve">AES-256 encryption (Neon/AWS default for database; GCP default for object storage; Azure for AI endpoint)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Data in transit: </w:t>
      </w:r>
      <w:r>
        <w:rPr>
          <w:color w:val="475569"/>
          <w:sz w:val="18"/>
          <w:szCs w:val="18"/>
        </w:rPr>
        <w:t xml:space="preserve">TLS 1.2+ enforced on all connections; no unencrypted HTTP accepted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Password storage: </w:t>
      </w:r>
      <w:r>
        <w:rPr>
          <w:color w:val="475569"/>
          <w:sz w:val="18"/>
          <w:szCs w:val="18"/>
        </w:rPr>
        <w:t xml:space="preserve">bcrypt, cost factor 12 — no plaintext passwords stored anywhere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Webhook integrity: </w:t>
      </w:r>
      <w:r>
        <w:rPr>
          <w:color w:val="475569"/>
          <w:sz w:val="18"/>
          <w:szCs w:val="18"/>
        </w:rPr>
        <w:t xml:space="preserve">HMAC-SHA256 signature verification on all inbound Stripe webhooks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Session security: </w:t>
      </w:r>
      <w:r>
        <w:rPr>
          <w:color w:val="475569"/>
          <w:sz w:val="18"/>
          <w:szCs w:val="18"/>
        </w:rPr>
        <w:t xml:space="preserve">HTTP-only secure session cookies; SESSION_SECRET environment variable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Export safety: </w:t>
      </w:r>
      <w:r>
        <w:rPr>
          <w:color w:val="475569"/>
          <w:sz w:val="18"/>
          <w:szCs w:val="18"/>
        </w:rPr>
        <w:t xml:space="preserve">No passwords, hashed credentials, or raw session tokens included in data exports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File storage: </w:t>
      </w:r>
      <w:r>
        <w:rPr>
          <w:color w:val="475569"/>
          <w:sz w:val="18"/>
          <w:szCs w:val="18"/>
        </w:rPr>
        <w:t xml:space="preserve">Presigned URL pattern — files are never served directly from the database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3.  Immutable Audit Logging</w:t>
      </w:r>
    </w:p>
    <w:p>
      <w:pPr>
        <w:spacing w:after="80" w:before="80"/>
      </w:pPr>
      <w:r>
        <w:rPr>
          <w:color w:val="1e293b"/>
          <w:sz w:val="18"/>
          <w:szCs w:val="18"/>
        </w:rPr>
        <w:t xml:space="preserve">Veriqua implements database-level audit log immutability — not merely application-level protection. The audit_log table is governed by PostgreSQL triggers: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BEFORE DELETE trigger: raises EXCEPTION — no application code can delete an audit_log row.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BEFORE UPDATE trigger: raises EXCEPTION — no application code can modify an audit_log row.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Both triggers operate at the PostgreSQL engine level, below the application layer.</w:t>
      </w:r>
    </w:p>
    <w:p>
      <w:pPr>
        <w:spacing w:after="0" w:before="80"/>
      </w:pP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Append-only: </w:t>
      </w:r>
      <w:r>
        <w:rPr>
          <w:color w:val="475569"/>
          <w:sz w:val="18"/>
          <w:szCs w:val="18"/>
        </w:rPr>
        <w:t xml:space="preserve">No application user, administrator, or direct database connection (short of a PostgreSQL superuser dropping the trigger) can modify or delete an audit log row.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What is captured: </w:t>
      </w:r>
      <w:r>
        <w:rPr>
          <w:color w:val="475569"/>
          <w:sz w:val="18"/>
          <w:szCs w:val="18"/>
        </w:rPr>
        <w:t xml:space="preserve">Entity type, entity ID, action, user name, user role, IP address, user agent, old value, new value, severity, and timestamp — on every create, update, and delete across all modules.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Regulatory basis: </w:t>
      </w:r>
      <w:r>
        <w:rPr>
          <w:color w:val="475569"/>
          <w:sz w:val="18"/>
          <w:szCs w:val="18"/>
        </w:rPr>
        <w:t xml:space="preserve">Satisfies AUSTRAC 7-year record-keeping obligations (AML/CTF Act 2006 s.106) and Corporations Act s.286 retention requirements.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Export logging: </w:t>
      </w:r>
      <w:r>
        <w:rPr>
          <w:color w:val="475569"/>
          <w:sz w:val="18"/>
          <w:szCs w:val="18"/>
        </w:rPr>
        <w:t xml:space="preserve">Every data export is itself logged to the immutable audit trail with the exporting user's identity, IP address, and timestamp.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Retention: </w:t>
      </w:r>
      <w:r>
        <w:rPr>
          <w:color w:val="475569"/>
          <w:sz w:val="18"/>
          <w:szCs w:val="18"/>
        </w:rPr>
        <w:t xml:space="preserve">Audit log rows are never purged by scheduled jobs. The full log remains in the database indefinitely.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4.  Access Control &amp; Multi-Tenant Isolation</w:t>
      </w:r>
    </w:p>
    <w:p>
      <w:pPr>
        <w:pStyle w:val="Heading2"/>
        <w:pBdr>
          <w:bottom w:val="single" w:color="0d9488" w:sz="4"/>
        </w:pBdr>
        <w:spacing w:after="80" w:before="200"/>
        <w:rPr>
          <w:b/>
          <w:bCs/>
          <w:color w:val="0f2044"/>
          <w:sz w:val="20"/>
          <w:szCs w:val="20"/>
        </w:rPr>
      </w:pPr>
      <w:r>
        <w:t xml:space="preserve">Role-Based Access Control (RBAC)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read_only: </w:t>
      </w:r>
      <w:r>
        <w:rPr>
          <w:color w:val="475569"/>
          <w:sz w:val="18"/>
          <w:szCs w:val="18"/>
        </w:rPr>
        <w:t xml:space="preserve">View all records within own firm. No create, edit, or delete.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compliance_officer: </w:t>
      </w:r>
      <w:r>
        <w:rPr>
          <w:color w:val="475569"/>
          <w:sz w:val="18"/>
          <w:szCs w:val="18"/>
        </w:rPr>
        <w:t xml:space="preserve">Full read + write within own firm. Cannot manage users or billing.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responsible_manager: </w:t>
      </w:r>
      <w:r>
        <w:rPr>
          <w:color w:val="475569"/>
          <w:sz w:val="18"/>
          <w:szCs w:val="18"/>
        </w:rPr>
        <w:t xml:space="preserve">Full read + write + digital sign-off authority within own firm.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admin: </w:t>
      </w:r>
      <w:r>
        <w:rPr>
          <w:color w:val="475569"/>
          <w:sz w:val="18"/>
          <w:szCs w:val="18"/>
        </w:rPr>
        <w:t xml:space="preserve">All of the above + user management, data export, and firm settings.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super_admin: </w:t>
      </w:r>
      <w:r>
        <w:rPr>
          <w:color w:val="475569"/>
          <w:sz w:val="18"/>
          <w:szCs w:val="18"/>
        </w:rPr>
        <w:t xml:space="preserve">Cross-tenant visibility (Veriqua staff only). Separately gated and audit-logged.</w:t>
      </w:r>
    </w:p>
    <w:p>
      <w:pPr>
        <w:spacing w:after="0" w:before="80"/>
      </w:pPr>
    </w:p>
    <w:p>
      <w:pPr>
        <w:pStyle w:val="Heading2"/>
        <w:pBdr>
          <w:bottom w:val="single" w:color="0d9488" w:sz="4"/>
        </w:pBdr>
        <w:spacing w:after="80" w:before="200"/>
        <w:rPr>
          <w:b/>
          <w:bCs/>
          <w:color w:val="0f2044"/>
          <w:sz w:val="20"/>
          <w:szCs w:val="20"/>
        </w:rPr>
      </w:pPr>
      <w:r>
        <w:t xml:space="preserve">Multi-Tenant Isolation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Row-level firmId: </w:t>
      </w:r>
      <w:r>
        <w:rPr>
          <w:color w:val="475569"/>
          <w:sz w:val="18"/>
          <w:szCs w:val="18"/>
        </w:rPr>
        <w:t xml:space="preserve">Every table in the database carries a firmId column. No query executes without a WHERE firmId = ? clause enforced by the firmContext middleware.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Middleware enforcement: </w:t>
      </w:r>
      <w:r>
        <w:rPr>
          <w:color w:val="475569"/>
          <w:sz w:val="18"/>
          <w:szCs w:val="18"/>
        </w:rPr>
        <w:t xml:space="preserve">The firmContext middleware validates the session's firmId on every authenticated route and rejects any attempt to query outside the tenant's scope.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API isolation: </w:t>
      </w:r>
      <w:r>
        <w:rPr>
          <w:color w:val="475569"/>
          <w:sz w:val="18"/>
          <w:szCs w:val="18"/>
        </w:rPr>
        <w:t xml:space="preserve">No API endpoint returns data from more than one tenant. Cross-tenant data leakage is architecturally impossible through normal API paths.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CSRF protection: </w:t>
      </w:r>
      <w:r>
        <w:rPr>
          <w:color w:val="475569"/>
          <w:sz w:val="18"/>
          <w:szCs w:val="18"/>
        </w:rPr>
        <w:t xml:space="preserve">CSRF tokens required on all state-changing (POST/PUT/PATCH/DELETE) requests.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Rate limiting: </w:t>
      </w:r>
      <w:r>
        <w:rPr>
          <w:color w:val="475569"/>
          <w:sz w:val="18"/>
          <w:szCs w:val="18"/>
        </w:rPr>
        <w:t xml:space="preserve">Per-IP rate limiting applied to all API routes to mitigate brute-force and enumeration attacks.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5.  Backup &amp; Business Continuity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PostgreSQL pg_dump: </w:t>
      </w:r>
      <w:r>
        <w:rPr>
          <w:color w:val="475569"/>
          <w:sz w:val="18"/>
          <w:szCs w:val="18"/>
        </w:rPr>
        <w:t xml:space="preserve">Daily automated backup to object storage — Sydney, Australia. 30-day retention.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GitHub push: </w:t>
      </w:r>
      <w:r>
        <w:rPr>
          <w:color w:val="475569"/>
          <w:sz w:val="18"/>
          <w:szCs w:val="18"/>
        </w:rPr>
        <w:t xml:space="preserve">Full codebase pushed to encrypted GitHub repository every 6 hours. Indefinite retention.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Object storage files: </w:t>
      </w:r>
      <w:r>
        <w:rPr>
          <w:color w:val="475569"/>
          <w:sz w:val="18"/>
          <w:szCs w:val="18"/>
        </w:rPr>
        <w:t xml:space="preserve">Platform-managed with 30-day lifecycle policy. AU Sydney GCS-backed.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Row count verification: </w:t>
      </w:r>
      <w:r>
        <w:rPr>
          <w:color w:val="475569"/>
          <w:sz w:val="18"/>
          <w:szCs w:val="18"/>
        </w:rPr>
        <w:t xml:space="preserve">Each backup run verifies the table row count and logs it alongside the backup record, providing an integrity check against silent truncation.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Recovery objective: </w:t>
      </w:r>
      <w:r>
        <w:rPr>
          <w:color w:val="475569"/>
          <w:sz w:val="18"/>
          <w:szCs w:val="18"/>
        </w:rPr>
        <w:t xml:space="preserve">Daily pg_dump enables point-in-day recovery. Target RTO: same business day. RPO: 24 hours.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6.  Responsible Disclosure &amp; Pending Items</w:t>
      </w:r>
    </w:p>
    <w:p>
      <w:pPr>
        <w:spacing w:after="80" w:before="80"/>
      </w:pPr>
      <w:r>
        <w:rPr>
          <w:color w:val="1e293b"/>
          <w:sz w:val="18"/>
          <w:szCs w:val="18"/>
        </w:rPr>
        <w:t xml:space="preserve">Veriqua does not make security claims it cannot substantiate. The following items are in progress: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Independent penetration test (CREST-certified) — scheduled, not yet completed. No 'pen tested' claim is made until complete.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ISO 27001 certification — not yet pursued. No ISO 27001 claim is made.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SOC 2 Type II audit — not yet pursued. No SOC 2 claim is made.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color w:val="475569"/>
          <w:sz w:val="18"/>
          <w:szCs w:val="18"/>
        </w:rPr>
        <w:t xml:space="preserve">Infrastructure residency confirmed. Application: Replit/GCP Sydney. Database: Neon/AWS Sydney (ap-southeast-2). Email: AWS SES Sydney. AI: Azure Australia East.</w:t>
      </w:r>
    </w:p>
    <w:p>
      <w:pPr>
        <w:spacing w:after="0" w:before="80"/>
      </w:pP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Security disclosures: </w:t>
      </w:r>
      <w:r>
        <w:rPr>
          <w:color w:val="475569"/>
          <w:sz w:val="18"/>
          <w:szCs w:val="18"/>
        </w:rPr>
        <w:t xml:space="preserve">To report a security vulnerability, contact paul@veriqua.com.au with subject line 'Security Disclosure'. Veriqua commits to acknowledging receipt within 2 business days and a remediation timeline within 10 business days.</w:t>
      </w:r>
    </w:p>
    <w:p>
      <w:pPr>
        <w:pStyle w:val="Heading1"/>
        <w:shd w:fill="0f2044" w:color="0f2044" w:val="solid"/>
        <w:spacing w:after="120" w:before="320"/>
        <w:rPr>
          <w:b/>
          <w:bCs/>
          <w:color w:val="FFFFFF"/>
          <w:sz w:val="22"/>
          <w:szCs w:val="22"/>
        </w:rPr>
      </w:pPr>
      <w:r>
        <w:t xml:space="preserve">7.  Regulatory Alignment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AML/CTF Act 2006 s.106 — 7-year retention: </w:t>
      </w:r>
      <w:r>
        <w:rPr>
          <w:color w:val="475569"/>
          <w:sz w:val="18"/>
          <w:szCs w:val="18"/>
        </w:rPr>
        <w:t xml:space="preserve">Immutable audit log + 7-year retention policy. No records are deleted.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Privacy Act 1988 APP 8 — no cross-border disclosure: </w:t>
      </w:r>
      <w:r>
        <w:rPr>
          <w:color w:val="475569"/>
          <w:sz w:val="18"/>
          <w:szCs w:val="18"/>
        </w:rPr>
        <w:t xml:space="preserve">All infrastructure AU-resident. No personal data crosses Australian borders.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Privacy Act 1988 APP 11 — security of personal information: </w:t>
      </w:r>
      <w:r>
        <w:rPr>
          <w:color w:val="475569"/>
          <w:sz w:val="18"/>
          <w:szCs w:val="18"/>
        </w:rPr>
        <w:t xml:space="preserve">AES-256 at rest, TLS in transit, RBAC, multi-tenant isolation, audit logging.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Corporations Act 2001 s.286 — financial record retention: </w:t>
      </w:r>
      <w:r>
        <w:rPr>
          <w:color w:val="475569"/>
          <w:sz w:val="18"/>
          <w:szCs w:val="18"/>
        </w:rPr>
        <w:t xml:space="preserve">AFSL compliance records retained indefinitely; immutable audit trail.</w:t>
      </w:r>
    </w:p>
    <w:p>
      <w:pPr>
        <w:pStyle w:val="ListParagraph"/>
        <w:numPr>
          <w:ilvl w:val="0"/>
          <w:numId w:val="1"/>
        </w:numPr>
        <w:spacing w:after="60" w:before="60"/>
        <w:ind w:left="431"/>
      </w:pPr>
      <w:r>
        <w:rPr>
          <w:b/>
          <w:bCs/>
          <w:color w:val="1e293b"/>
          <w:sz w:val="18"/>
          <w:szCs w:val="18"/>
        </w:rPr>
        <w:t xml:space="preserve">AUSTRAC ECDD — enhanced CDD record security: </w:t>
      </w:r>
      <w:r>
        <w:rPr>
          <w:color w:val="475569"/>
          <w:sz w:val="18"/>
          <w:szCs w:val="18"/>
        </w:rPr>
        <w:t xml:space="preserve">KYC and CDD records stored in isolated tenant partition, audit-logged.</w:t>
      </w:r>
    </w:p>
    <w:p>
      <w:pPr>
        <w:spacing w:after="80" w:before="240"/>
      </w:pPr>
    </w:p>
    <w:p>
      <w:pPr>
        <w:jc w:val="center"/>
      </w:pPr>
      <w:r>
        <w:rPr>
          <w:color w:val="64748b"/>
          <w:sz w:val="16"/>
          <w:szCs w:val="16"/>
        </w:rPr>
        <w:t xml:space="preserve">Issued by Veriqua Pty Ltd  ·  paul@veriqua.com.au  ·  app.veriqua.com.au  ·  10 July 2026  ·  Version 1.0 — PUBLIC</w:t>
      </w:r>
    </w:p>
    <w:p>
      <w:pPr>
        <w:spacing w:before="60"/>
        <w:jc w:val="center"/>
      </w:pPr>
      <w:r>
        <w:rPr>
          <w:color w:val="94a3b8"/>
          <w:sz w:val="14"/>
          <w:szCs w:val="14"/>
        </w:rPr>
        <w:t xml:space="preserve">The most current version is always available at app.veriqua.com.au/api/report/security-statement/docx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2026-07-10T12:34:00.227Z</dcterms:created>
  <dcterms:modified xsi:type="dcterms:W3CDTF">2026-07-10T12:34:00.227Z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